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版本号：中金咨招[2023]-0159号20250815001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合阳县2025年度煤矿超层越界检测项目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中金咨招[2023]-0159号</w:t>
      </w:r>
      <w:r>
        <w:br/>
      </w:r>
      <w:r>
        <w:br/>
      </w:r>
      <w:r>
        <w:br/>
      </w:r>
    </w:p>
    <w:p>
      <w:pPr>
        <w:pStyle w:val="null3"/>
        <w:jc w:val="center"/>
        <w:outlineLvl w:val="2"/>
      </w:pPr>
      <w:r>
        <w:rPr>
          <w:rFonts w:ascii="仿宋_GB2312" w:hAnsi="仿宋_GB2312" w:cs="仿宋_GB2312" w:eastAsia="仿宋_GB2312"/>
          <w:sz w:val="28"/>
          <w:b/>
        </w:rPr>
        <w:t>合阳县自然资源局</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合阳县自然资源局</w:t>
      </w:r>
      <w:r>
        <w:rPr>
          <w:rFonts w:ascii="仿宋_GB2312" w:hAnsi="仿宋_GB2312" w:cs="仿宋_GB2312" w:eastAsia="仿宋_GB2312"/>
        </w:rPr>
        <w:t>委托，拟对</w:t>
      </w:r>
      <w:r>
        <w:rPr>
          <w:rFonts w:ascii="仿宋_GB2312" w:hAnsi="仿宋_GB2312" w:cs="仿宋_GB2312" w:eastAsia="仿宋_GB2312"/>
        </w:rPr>
        <w:t>合阳县2025年度煤矿超层越界检测项目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中金咨招[2023]-0159号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合阳县2025年度煤矿超层越界检测项目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依据《国务院关于预防煤矿生产安全事故的特别规定》（国务院令第 446 号）将超层越界开采明确列为重大安全隐患之一，和《国土资源部、国家安全生产监督管理总局、国家煤矿安全监察局关于开展煤矿超层越界开采专项检查整治行动的通知》等有关文件要求，需对合阳县行政区域内全部煤矿资源开采情况逐一进行检查并检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采购包1（合阳县2025年度煤矿超层越界检测项目）：属于专门面向中小企业采购。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 织或自然人：具有独立承担民事责任能力的法人、其他组织或自然人，并出具合法有效的营业执照或事业单位法人证书等国家规定的相关证明，自然人参与的提供其身份证明；供应商需在项目电子化交易系统中按要求上传相应证明 文件并进行电子签章。</w:t>
      </w:r>
    </w:p>
    <w:p>
      <w:pPr>
        <w:pStyle w:val="null3"/>
      </w:pPr>
      <w:r>
        <w:rPr>
          <w:rFonts w:ascii="仿宋_GB2312" w:hAnsi="仿宋_GB2312" w:cs="仿宋_GB2312" w:eastAsia="仿宋_GB2312"/>
        </w:rPr>
        <w:t>2、法定代表人参加投标时，提供本人身份证； 授权代表参加投标时，提供法定代表人授权 书和被授权人身份证；非法人单位参照执行：企业法定代表人授权书（附法定代表人有效身份证复印件，法定代表人直接参加须提供法定代表人身份证明及本人有效身份证）及被授权人有效身份证原件和复印件；供应商需在项目电子化交易系统中按要求上传相应证明文件并进行电子签章。</w:t>
      </w:r>
    </w:p>
    <w:p>
      <w:pPr>
        <w:pStyle w:val="null3"/>
      </w:pPr>
      <w:r>
        <w:rPr>
          <w:rFonts w:ascii="仿宋_GB2312" w:hAnsi="仿宋_GB2312" w:cs="仿宋_GB2312" w:eastAsia="仿宋_GB2312"/>
        </w:rPr>
        <w:t>3、财务状况报告：提供2024年度的财务审计报告（至少包括资产负债表和利润表，成立时间至提交投标文件截止时间不足一年的可提供成立后任意时段的资产负债表），或其开标前六个月内银行开具的资信证明；</w:t>
      </w:r>
    </w:p>
    <w:p>
      <w:pPr>
        <w:pStyle w:val="null3"/>
      </w:pPr>
      <w:r>
        <w:rPr>
          <w:rFonts w:ascii="仿宋_GB2312" w:hAnsi="仿宋_GB2312" w:cs="仿宋_GB2312" w:eastAsia="仿宋_GB2312"/>
        </w:rPr>
        <w:t>4、税收证明：税收缴纳证明：提供投标文件递交截止日前六个月内任意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社会保障资金缴纳证明：提供投标文件递交截止日前六个月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6、企业资质：供应商须具备测绘资质审批机关核发的乙级及以上测绘资质（专业范围含工程测量）；供应商需在项目电子化交易系统中按要求上传相应证明文件并进行电子签章。</w:t>
      </w:r>
    </w:p>
    <w:p>
      <w:pPr>
        <w:pStyle w:val="null3"/>
      </w:pPr>
      <w:r>
        <w:rPr>
          <w:rFonts w:ascii="仿宋_GB2312" w:hAnsi="仿宋_GB2312" w:cs="仿宋_GB2312" w:eastAsia="仿宋_GB2312"/>
        </w:rPr>
        <w:t>7、项目负责人：项目负责人须具备测绘专业中级及以上职称；供应商需在项目电子化交易系统中按要求上传相应证明文件并进行电子签章。</w:t>
      </w:r>
    </w:p>
    <w:p>
      <w:pPr>
        <w:pStyle w:val="null3"/>
      </w:pPr>
      <w:r>
        <w:rPr>
          <w:rFonts w:ascii="仿宋_GB2312" w:hAnsi="仿宋_GB2312" w:cs="仿宋_GB2312" w:eastAsia="仿宋_GB2312"/>
        </w:rPr>
        <w:t>8、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9、供应商提供具有履行合同所必需的设备和专业技术能力的承诺：提供具有履行本合同所必需的设备和专业技术能力的承诺；供应商需在项目电子化交易系统中按要求上传相应证明文件并进行电子签章。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10、信用查询：不得为“信用中国”网站（www.creditchina.gov.cn）中列入失信被执行人和重大税收违法案件当事人名单的投标人，不得为中国政府采购网（www.ccgp.gov.cn）政府采购严重违法失信行为记录名单中被财政部门禁止参加政府采购活动的投标人；供应商需在项目电子化交易系统中按要求上传相应证明文件并进行电子签章。</w:t>
      </w:r>
    </w:p>
    <w:p>
      <w:pPr>
        <w:pStyle w:val="null3"/>
      </w:pPr>
      <w:r>
        <w:rPr>
          <w:rFonts w:ascii="仿宋_GB2312" w:hAnsi="仿宋_GB2312" w:cs="仿宋_GB2312" w:eastAsia="仿宋_GB2312"/>
        </w:rPr>
        <w:t>11、本项目不接受联合体投标：本项目不接受联合体投标，供应商需在项目电子化交易系统中按要求上传相应证明文件并进行电子签章。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12、单位控股关系：单位负责人为同一人或者存在直接控股、管理关系的不同供应商不得参加同一合同项下的政府采购活动；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合阳县解放路南段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18049360099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西安市雁塔区旺座曲江E座1304室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13572476552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 xml:space="preserve"> 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代理服务费收费标准：1.以本采购项目成交价为基数，参照国家计委关于印发《招标代理服务收费管理暂行办法》的通知（计价格[2002]1980号）和发改办价格[2003]857号规定计取。 2.成交供应商在领取成交通知书前，须向采购代理机构一次性支付招标代理服务费。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合阳县自然资源局</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符合采购人需求，符合磋商文件商务要求。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联系电话：13572476552</w:t>
      </w:r>
    </w:p>
    <w:p>
      <w:pPr>
        <w:pStyle w:val="null3"/>
      </w:pPr>
      <w:r>
        <w:rPr>
          <w:rFonts w:ascii="仿宋_GB2312" w:hAnsi="仿宋_GB2312" w:cs="仿宋_GB2312" w:eastAsia="仿宋_GB2312"/>
        </w:rPr>
        <w:t>地址：西安市雁塔区旺座曲江E座1304室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依据《国务院关于预防煤矿生产安全事故的特别规定》（国务院令第 446 号）将超层越界开采明确列为重大安全隐患之一，和《国土资源部、国家安全生产监督管理总局、国家煤矿安全监察局关于开展煤矿超层越界开采专项检查整治行动的通知》等有关文件要求，需对合阳县行政区域内全部煤矿资源开采情况逐一进行检查并检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 2025年度煤矿超层越界检测项目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 2025年度煤矿超层越界检测项目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工作内容</w:t>
            </w:r>
          </w:p>
          <w:p>
            <w:pPr>
              <w:pStyle w:val="null3"/>
            </w:pPr>
            <w:r>
              <w:rPr>
                <w:rFonts w:ascii="仿宋_GB2312" w:hAnsi="仿宋_GB2312" w:cs="仿宋_GB2312" w:eastAsia="仿宋_GB2312"/>
              </w:rPr>
              <w:t>实地测量：对合阳县行政区域内所有在产煤矿、在建煤矿及停产整顿煤矿进行井下实地测量。利用全站仪、</w:t>
            </w:r>
            <w:r>
              <w:rPr>
                <w:rFonts w:ascii="仿宋_GB2312" w:hAnsi="仿宋_GB2312" w:cs="仿宋_GB2312" w:eastAsia="仿宋_GB2312"/>
              </w:rPr>
              <w:t>GPS 等先进测量设备，精确测量井下巷道位置、标高、走向及开采边界，详细记录测量数据，并绘制井下实测图。对于疑似超层越界区域，进行重点测量与反复核实。</w:t>
            </w:r>
          </w:p>
          <w:p>
            <w:pPr>
              <w:pStyle w:val="null3"/>
            </w:pPr>
            <w:r>
              <w:rPr>
                <w:rFonts w:ascii="仿宋_GB2312" w:hAnsi="仿宋_GB2312" w:cs="仿宋_GB2312" w:eastAsia="仿宋_GB2312"/>
              </w:rPr>
              <w:t>地面遥感监测：运用卫星遥感技术，定期获取合阳县煤矿区域高分辨率卫星影像数据。借助专业图像处理软件和分析算法，对影像数据进行处理与分析，提取地表变形、塌陷、植被覆盖变化等信息，与煤矿合法开采范围对比，判断是否存在异常情况。</w:t>
            </w:r>
          </w:p>
          <w:p>
            <w:pPr>
              <w:pStyle w:val="null3"/>
            </w:pPr>
            <w:r>
              <w:rPr>
                <w:rFonts w:ascii="仿宋_GB2312" w:hAnsi="仿宋_GB2312" w:cs="仿宋_GB2312" w:eastAsia="仿宋_GB2312"/>
              </w:rPr>
              <w:t>数据对比与分析：将井下实测数据与煤矿提供的图纸资料、矿区范围数据进行详细比对，同时结合地面遥感监测分析结果，运用地理信息系统（</w:t>
            </w:r>
            <w:r>
              <w:rPr>
                <w:rFonts w:ascii="仿宋_GB2312" w:hAnsi="仿宋_GB2312" w:cs="仿宋_GB2312" w:eastAsia="仿宋_GB2312"/>
              </w:rPr>
              <w:t>GIS）技术进行空间分析和数据叠加。重点分析是否存在巷道超出矿区边界、开采煤层与设计煤层不符、开采深度超过规定范围等超层越界情况。对发现的异常数据和疑似问题，进行深入调查和核实，确保检测结果准确可靠。</w:t>
            </w:r>
          </w:p>
          <w:p>
            <w:pPr>
              <w:pStyle w:val="null3"/>
            </w:pPr>
            <w:r>
              <w:rPr>
                <w:rFonts w:ascii="仿宋_GB2312" w:hAnsi="仿宋_GB2312" w:cs="仿宋_GB2312" w:eastAsia="仿宋_GB2312"/>
              </w:rPr>
              <w:t>报告编制：根据检测数据和分析结果，编制详细的煤矿超层越界检测报告。报告内容包括煤矿基本信息、检测依据、检测方法、检测结果（是否存在超层越界开采行为及具体情况描述）、存在问题分析、处理建议等。报告需经检测机构技术负责人审核签字，并加盖单位公章。</w:t>
            </w:r>
          </w:p>
          <w:p>
            <w:pPr>
              <w:pStyle w:val="null3"/>
              <w:spacing w:after="120"/>
              <w:jc w:val="both"/>
            </w:pPr>
            <w:r>
              <w:rPr>
                <w:rFonts w:ascii="仿宋_GB2312" w:hAnsi="仿宋_GB2312" w:cs="仿宋_GB2312" w:eastAsia="仿宋_GB2312"/>
                <w:sz w:val="24"/>
                <w:b/>
              </w:rPr>
              <w:t>二、</w:t>
            </w:r>
            <w:r>
              <w:rPr>
                <w:rFonts w:ascii="仿宋_GB2312" w:hAnsi="仿宋_GB2312" w:cs="仿宋_GB2312" w:eastAsia="仿宋_GB2312"/>
                <w:sz w:val="24"/>
                <w:b/>
                <w:color w:val="000000"/>
              </w:rPr>
              <w:t>工作要求</w:t>
            </w:r>
          </w:p>
          <w:p>
            <w:pPr>
              <w:pStyle w:val="null3"/>
            </w:pPr>
            <w:r>
              <w:rPr>
                <w:rFonts w:ascii="仿宋_GB2312" w:hAnsi="仿宋_GB2312" w:cs="仿宋_GB2312" w:eastAsia="仿宋_GB2312"/>
              </w:rPr>
              <w:t>（</w:t>
            </w:r>
            <w:r>
              <w:rPr>
                <w:rFonts w:ascii="仿宋_GB2312" w:hAnsi="仿宋_GB2312" w:cs="仿宋_GB2312" w:eastAsia="仿宋_GB2312"/>
              </w:rPr>
              <w:t>1）人员配备：供应商应根据项目需求，配备足够数量的专业技术人员，包括测量工程师、测绘技术员、地质工程师等。所有人员需具备相应的专业资质和丰富的煤矿检测经验，能够熟练操作各类检测设备，准确采集和分析数据。在投标文件中需明确列出项目团队成员名单、资质证书及相关工作经验介绍。</w:t>
            </w:r>
          </w:p>
          <w:p>
            <w:pPr>
              <w:pStyle w:val="null3"/>
            </w:pPr>
            <w:r>
              <w:rPr>
                <w:rFonts w:ascii="仿宋_GB2312" w:hAnsi="仿宋_GB2312" w:cs="仿宋_GB2312" w:eastAsia="仿宋_GB2312"/>
              </w:rPr>
              <w:t>（</w:t>
            </w:r>
            <w:r>
              <w:rPr>
                <w:rFonts w:ascii="仿宋_GB2312" w:hAnsi="仿宋_GB2312" w:cs="仿宋_GB2312" w:eastAsia="仿宋_GB2312"/>
              </w:rPr>
              <w:t>2）设备要求：供应商应配备先进的检测设备，以满足项目需求。井下测量设备需包括高精度全站仪、防爆型 GPS 接收机、激光测距仪等，确保测量数据的准确性和可靠性；地面遥感监测设备需具备专业的卫星遥感数据接收能力，并配备高性能计算机及专业图像处理软件，如 ENVI、Erdas 等，用于影像数据的处理和分析；数据处理与分析设备需配备高性能服务器及 GIS 软件平台，如 ArcGIS 等，实现对各类数据的整合、存储、分析和可视化展示。在投标文件中需提供设备清单及设备的技术参数、购置时间等信息。</w:t>
            </w:r>
          </w:p>
          <w:p>
            <w:pPr>
              <w:pStyle w:val="null3"/>
            </w:pPr>
            <w:r>
              <w:rPr>
                <w:rFonts w:ascii="仿宋_GB2312" w:hAnsi="仿宋_GB2312" w:cs="仿宋_GB2312" w:eastAsia="仿宋_GB2312"/>
              </w:rPr>
              <w:t>（</w:t>
            </w:r>
            <w:r>
              <w:rPr>
                <w:rFonts w:ascii="仿宋_GB2312" w:hAnsi="仿宋_GB2312" w:cs="仿宋_GB2312" w:eastAsia="仿宋_GB2312"/>
              </w:rPr>
              <w:t>3）质量控制：供应商应建立完善的质量控制体系，制定详细的质量控制标准和操作规程。在项目实施过程中，加强对各个环节的质量监督，定期进行内部质量检查，及时发现并纠正存在的问题。对于关键环节和重要数据，进行重点监督和复核，确保检测结果的真实性、准确性和完整性。在投标文件中需提供质量控制方案，包括质量控制标准、质量检查流程、数据审核机制等内容。</w:t>
            </w:r>
          </w:p>
          <w:p>
            <w:pPr>
              <w:pStyle w:val="null3"/>
            </w:pPr>
            <w:r>
              <w:rPr>
                <w:rFonts w:ascii="仿宋_GB2312" w:hAnsi="仿宋_GB2312" w:cs="仿宋_GB2312" w:eastAsia="仿宋_GB2312"/>
              </w:rPr>
              <w:t>（</w:t>
            </w:r>
            <w:r>
              <w:rPr>
                <w:rFonts w:ascii="仿宋_GB2312" w:hAnsi="仿宋_GB2312" w:cs="仿宋_GB2312" w:eastAsia="仿宋_GB2312"/>
              </w:rPr>
              <w:t>4）安全保障：由于项目涉及井下实地测量等危险作业，供应商应制定严格的安全保障措施，确保项目实施过程中的人员安全。制定安全操作规程，明确作业人员的安全职责和操作要求；对参与项目实施的所有人员进行安全培训，包括煤矿安全生产知识、井下作业安全注意事项、应急救援知识等方面的培训；为井下作业人员配备必要的安全保障设备，如气体检测仪、通风设备、安全帽、自救器、矿灯等；建立应急救援机制，制定应急救援预案，配备应急救援物资和设备，定期组织应急演练。在投标文件中需提供安全保障方案，包括安全操作规程、安全培训计划、安全保障设备清单、应急救援预案等内容。</w:t>
            </w:r>
          </w:p>
          <w:p>
            <w:pPr>
              <w:pStyle w:val="null3"/>
              <w:spacing w:after="120"/>
              <w:jc w:val="both"/>
            </w:pPr>
            <w:r>
              <w:rPr>
                <w:rFonts w:ascii="仿宋_GB2312" w:hAnsi="仿宋_GB2312" w:cs="仿宋_GB2312" w:eastAsia="仿宋_GB2312"/>
                <w:sz w:val="24"/>
                <w:b/>
              </w:rPr>
              <w:t>三、技术依据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《中华人民共和国矿产资源法》</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《中华人民共和国测绘法》</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《矿产地质勘查规范</w:t>
            </w:r>
            <w:r>
              <w:rPr>
                <w:rFonts w:ascii="仿宋_GB2312" w:hAnsi="仿宋_GB2312" w:cs="仿宋_GB2312" w:eastAsia="仿宋_GB2312"/>
                <w:sz w:val="20"/>
              </w:rPr>
              <w:t>煤》（</w:t>
            </w:r>
            <w:r>
              <w:rPr>
                <w:rFonts w:ascii="仿宋_GB2312" w:hAnsi="仿宋_GB2312" w:cs="仿宋_GB2312" w:eastAsia="仿宋_GB2312"/>
                <w:sz w:val="20"/>
              </w:rPr>
              <w:t>DZ/T 0215-2020）</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《煤矿测量规程》</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《测绘生产成本费用定额》（财建〔</w:t>
            </w:r>
            <w:r>
              <w:rPr>
                <w:rFonts w:ascii="仿宋_GB2312" w:hAnsi="仿宋_GB2312" w:cs="仿宋_GB2312" w:eastAsia="仿宋_GB2312"/>
                <w:sz w:val="20"/>
              </w:rPr>
              <w:t>2009〕17 号文）</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《工程勘察设计收费标准》（计价格〔</w:t>
            </w:r>
            <w:r>
              <w:rPr>
                <w:rFonts w:ascii="仿宋_GB2312" w:hAnsi="仿宋_GB2312" w:cs="仿宋_GB2312" w:eastAsia="仿宋_GB2312"/>
                <w:sz w:val="20"/>
              </w:rPr>
              <w:t>2002〕10 号文）</w:t>
            </w:r>
          </w:p>
          <w:p>
            <w:pPr>
              <w:pStyle w:val="null3"/>
            </w:pPr>
            <w:r>
              <w:rPr>
                <w:rFonts w:ascii="仿宋_GB2312" w:hAnsi="仿宋_GB2312" w:cs="仿宋_GB2312" w:eastAsia="仿宋_GB2312"/>
                <w:sz w:val="20"/>
              </w:rPr>
              <w:t>《国土资源调查预算标准》（财建〔</w:t>
            </w:r>
            <w:r>
              <w:rPr>
                <w:rFonts w:ascii="仿宋_GB2312" w:hAnsi="仿宋_GB2312" w:cs="仿宋_GB2312" w:eastAsia="仿宋_GB2312"/>
                <w:sz w:val="20"/>
              </w:rPr>
              <w:t>2007〕52 号文）</w:t>
            </w:r>
          </w:p>
          <w:p>
            <w:pPr>
              <w:pStyle w:val="null3"/>
              <w:spacing w:after="120"/>
              <w:jc w:val="both"/>
            </w:pPr>
            <w:r>
              <w:rPr>
                <w:rFonts w:ascii="仿宋_GB2312" w:hAnsi="仿宋_GB2312" w:cs="仿宋_GB2312" w:eastAsia="仿宋_GB2312"/>
                <w:sz w:val="24"/>
                <w:b/>
              </w:rPr>
              <w:t>四、服务质量、标准、期限、效率等要求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执行国家与行业标准：严格遵循国家及行业现行相关标准规范开展检测工作，如《矿产地质勘查规范</w:t>
            </w:r>
            <w:r>
              <w:rPr>
                <w:rFonts w:ascii="仿宋_GB2312" w:hAnsi="仿宋_GB2312" w:cs="仿宋_GB2312" w:eastAsia="仿宋_GB2312"/>
                <w:sz w:val="20"/>
              </w:rPr>
              <w:t>煤》（</w:t>
            </w:r>
            <w:r>
              <w:rPr>
                <w:rFonts w:ascii="仿宋_GB2312" w:hAnsi="仿宋_GB2312" w:cs="仿宋_GB2312" w:eastAsia="仿宋_GB2312"/>
                <w:sz w:val="20"/>
              </w:rPr>
              <w:t>DZ/T 0215 - 2020）、《煤矿测量规程》、</w:t>
            </w:r>
            <w:r>
              <w:rPr>
                <w:rFonts w:ascii="仿宋_GB2312" w:hAnsi="仿宋_GB2312" w:cs="仿宋_GB2312" w:eastAsia="仿宋_GB2312"/>
                <w:sz w:val="20"/>
              </w:rPr>
              <w:t>《工程测量标准》（</w:t>
            </w:r>
            <w:r>
              <w:rPr>
                <w:rFonts w:ascii="仿宋_GB2312" w:hAnsi="仿宋_GB2312" w:cs="仿宋_GB2312" w:eastAsia="仿宋_GB2312"/>
                <w:sz w:val="20"/>
              </w:rPr>
              <w:t>GB50026-2020）；</w:t>
            </w:r>
            <w:r>
              <w:rPr>
                <w:rFonts w:ascii="仿宋_GB2312" w:hAnsi="仿宋_GB2312" w:cs="仿宋_GB2312" w:eastAsia="仿宋_GB2312"/>
                <w:sz w:val="20"/>
              </w:rPr>
              <w:t>、</w:t>
            </w:r>
            <w:r>
              <w:rPr>
                <w:rFonts w:ascii="仿宋_GB2312" w:hAnsi="仿宋_GB2312" w:cs="仿宋_GB2312" w:eastAsia="仿宋_GB2312"/>
                <w:sz w:val="20"/>
              </w:rPr>
              <w:t>《全球导航卫星系统</w:t>
            </w:r>
            <w:r>
              <w:rPr>
                <w:rFonts w:ascii="仿宋_GB2312" w:hAnsi="仿宋_GB2312" w:cs="仿宋_GB2312" w:eastAsia="仿宋_GB2312"/>
                <w:sz w:val="20"/>
              </w:rPr>
              <w:t>(GNSS)测量规范》（GB/T 18314-2024）</w:t>
            </w:r>
            <w:r>
              <w:rPr>
                <w:rFonts w:ascii="仿宋_GB2312" w:hAnsi="仿宋_GB2312" w:cs="仿宋_GB2312" w:eastAsia="仿宋_GB2312"/>
                <w:sz w:val="20"/>
              </w:rPr>
              <w:t>等。从矿区范围界定、测量方法选择到成果报告编制，都以这些标准为操作指南。</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成果报告规范：检测完成后，按规范编制详细检测报告。报告内容包括煤矿基本信息、检测依据、检测方法、检测结果（明确是否存在超层越界开采行为，如有需描述具体情况）、存在问题分析、处理建议等。报告格式符合行业惯例，数据图表清晰准确，结论表述严谨规范，且经技术负责人审核签字并加盖单位公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1、供应商提交的检测报告内容完整、准确，符合相关技术标准和规范要求，数据真实可靠，结论明确清晰。报告需经专家评审通过，评审专家由采购人组织邀请相关领域的专业人士组成。 2、检测结果与实际情况相符，通过对部分煤矿的实地抽查验证，未发现检测结果存在偏差或错误。抽查比例不低于煤矿总数的 [15]%。 3、供应商按照合同约定的时间、进度要求完成所有工作任务，提交的相关资料齐全、规范。 4、采购人对供应商在项目实施过程中的服务态度、工作质量等方面进行综合评价，评价结果为良好及以上。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乙方进场并开展工作后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乙方成果完成并经初验合格后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乙方提交合同约定的全部成果，并通过主管部门审查后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2.依法向项目所在地人民法院提起诉讼。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投标响应文件，同时须线下提交纸质响应文件正本壹份、副本贰份、响应文件电子版壹份（以U盘形式提供，文件格式包含.doc/.docx格式及正本签字盖章后扫描的.pdf格式）；若电子响应文件与纸质响应文件不一致的，以电子响应文件为准；若正本和副本不符，以正本为准。 2、响应文件正、副本分别各自装订成册密封，响应文件电子版随正本封装，在封口处加盖供应商公章。 3、线下响应文件递交截止时间：同响应文件开启时间。 4、线下递交响应文件地点：西安市雁塔区旺座曲江E座1304室。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提供2024年度经审计的财务报告或开标前六个月内开户银行开具的资信证明及基本存款账户信息；供应商需在项目电子化交易系统中按要求上传相应证明文件并进行电子签章。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 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 文件并进行电子签章。</w:t>
            </w:r>
          </w:p>
        </w:tc>
        <w:tc>
          <w:tcPr>
            <w:tcW w:type="dxa" w:w="1661"/>
          </w:tcPr>
          <w:p>
            <w:pPr>
              <w:pStyle w:val="null3"/>
            </w:pPr>
            <w:r>
              <w:rPr>
                <w:rFonts w:ascii="仿宋_GB2312" w:hAnsi="仿宋_GB2312" w:cs="仿宋_GB2312" w:eastAsia="仿宋_GB2312"/>
              </w:rPr>
              <w:t>附件4：企业关系关联承诺书.docx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法定代表人参加投标时，提供本人身份证； 授权代表参加投标时，提供法定代表人授权 书和被授权人身份证；非法人单位参照执行</w:t>
            </w:r>
          </w:p>
        </w:tc>
        <w:tc>
          <w:tcPr>
            <w:tcW w:type="dxa" w:w="3322"/>
          </w:tcPr>
          <w:p>
            <w:pPr>
              <w:pStyle w:val="null3"/>
            </w:pPr>
            <w:r>
              <w:rPr>
                <w:rFonts w:ascii="仿宋_GB2312" w:hAnsi="仿宋_GB2312" w:cs="仿宋_GB2312" w:eastAsia="仿宋_GB2312"/>
              </w:rPr>
              <w:t>企业法定代表人授权书（附法定代表人有效身份证复印件，法定代表人直接参加须提供法定代表人身份证明及本人有效身份证）及被授权人有效身份证原件和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税收缴纳证明：提供投标文件递交截止日前六个月内任意一个月的纳税证明或完税证明，依法免税的单位应提供相关证明材料；供应商需在项目电子化交易系统中按要求上传相应证明文件并进行电子签章。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日前六个月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供应商须具备测绘资质审批机关核发的乙级及以上测绘资质（专业范围含工程测量）；供应商需在项目电子化交易系统中按要求上传相应证明文件并进行电子签章。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项目负责人须具备测绘专业中级及以上职称；供应商需在项目电子化交易系统中按要求上传相应证明文件并进行电子签章。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附件1.参加本次政府采购活动前三年内，在经营活动中没有重大违法记录的书面声明docx.docx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供应商提供具有履行合同所必需的设备和专业技术能力的承诺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附件2.供应商具有履行合同所必需的设备和专业技术能力的承诺docx.docx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投标人，不得为中国政府采购网（www.ccgp.gov.cn）政府采购严重违法失信行为记录名单中被财政部门禁止参加政府采购活动的投标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安全服务方案及承诺</w:t>
            </w:r>
          </w:p>
        </w:tc>
        <w:tc>
          <w:tcPr>
            <w:tcW w:type="dxa" w:w="2492"/>
          </w:tcPr>
          <w:p>
            <w:pPr>
              <w:pStyle w:val="null3"/>
            </w:pPr>
            <w:r>
              <w:rPr>
                <w:rFonts w:ascii="仿宋_GB2312" w:hAnsi="仿宋_GB2312" w:cs="仿宋_GB2312" w:eastAsia="仿宋_GB2312"/>
              </w:rPr>
              <w:t>针对本项目制定安全服务方案及承诺，从安全保障体系的完整性、安全服务方案的可实施性、安全服务的承诺、安全控制措施的有效性，进行综合评审赋分： 1、安全保障体系完整，得1-3分； 2、安全服务方案可实施性强，得1-3分； 3、安全服务承诺，满足采购要求，得1-3分； 4、安全控制措施合理、有效，得1-3分； 注：每一项不满足或不提供得0分。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针对本项目制定的实施方案，从煤矿现场检查规划的细致程度、井下实测工作安排的合理性、以及对存在超层越界嫌疑且常规方法无法测量的监测方案科学性等方面进行评审赋分： 1.从煤矿现场检查规划的细致程度，计1-3分； 2.对井下实测工作安排的合理性，计1-3分； 3.对存在超层越界嫌疑且常规方法无法测量的监测方案科学性，计1-3分； 注：每一项不满足或不提供得0分。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检测技术手段运用</w:t>
            </w:r>
          </w:p>
        </w:tc>
        <w:tc>
          <w:tcPr>
            <w:tcW w:type="dxa" w:w="2492"/>
          </w:tcPr>
          <w:p>
            <w:pPr>
              <w:pStyle w:val="null3"/>
            </w:pPr>
            <w:r>
              <w:rPr>
                <w:rFonts w:ascii="仿宋_GB2312" w:hAnsi="仿宋_GB2312" w:cs="仿宋_GB2312" w:eastAsia="仿宋_GB2312"/>
              </w:rPr>
              <w:t>依据供应商编制的项目实施方案，对检测技术手段运用情况评审赋分： 1.采用先进、精准且有效的检测技术手段（如高精度测量仪器、物探设备、遥感监测等），得1-3分； 2.测量数据准确可靠，技术操作流程规范，数据处理方法科学：得1-3分； 注：每一项不满足或不提供得0分。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提供针对本项目的进度保障措施，包括但不限于：全过程工作计划、时间节点安排、保证措施等： 1.全过程工作计划统筹到位，完全满足采购人要求，得1-3分； 2.时间节点安排紧凑，满足采购要求，得1-3分； 3.保证措施可行性强，能够确保服务时限，得1-3分； 注：每一项不满足或不提供得0分。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成果保密方案</w:t>
            </w:r>
          </w:p>
        </w:tc>
        <w:tc>
          <w:tcPr>
            <w:tcW w:type="dxa" w:w="2492"/>
          </w:tcPr>
          <w:p>
            <w:pPr>
              <w:pStyle w:val="null3"/>
            </w:pPr>
            <w:r>
              <w:rPr>
                <w:rFonts w:ascii="仿宋_GB2312" w:hAnsi="仿宋_GB2312" w:cs="仿宋_GB2312" w:eastAsia="仿宋_GB2312"/>
              </w:rPr>
              <w:t>结合供应商提供的档案管理制度、数据安全保密措施及保密承诺，从保密手段的先进性、人员保密管理的严格性、技术保密措施的有效性等维度综合赋分： 1.档案管理制度完善，可操作性强，得1-3分； 2.数据安全保密措施先进有涵盖数据加密、访问权限控制，得1-3分； 3.保密管理制度科学合理；得1-3分； 注：每一项不满足或不提供得0分。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针对质量管理目标及保证措施评审赋分，要求目标明确、措施切实可行： 1.质量管理目标详细可行，得1-4分； 2.质量保证措施涵盖质量标准、检验流程、质量问题处理机制等：得1-4分； 注：每一项不满足或不提供得0分。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服务保证措施及承诺</w:t>
            </w:r>
          </w:p>
        </w:tc>
        <w:tc>
          <w:tcPr>
            <w:tcW w:type="dxa" w:w="2492"/>
          </w:tcPr>
          <w:p>
            <w:pPr>
              <w:pStyle w:val="null3"/>
            </w:pPr>
            <w:r>
              <w:rPr>
                <w:rFonts w:ascii="仿宋_GB2312" w:hAnsi="仿宋_GB2312" w:cs="仿宋_GB2312" w:eastAsia="仿宋_GB2312"/>
              </w:rPr>
              <w:t>结合供应商提供的服务保证措施、服务响应时间、服务内容、服务质量监督等方面综合赋分： 1.服务保证措施完善、合理，得1-3分； 2.服务响应时间满足本项目采购需求，得1-3分； 3.服务内容完整，能保证项目顺利进行，得1-3分； 4.服务质量满足国家及相关行业标准及采购人要求，得1-3分； 注：每一项不满足或不提供得0分。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针对本项目有相应的应急方案，从其完整性、切合性、组织措施可行性、保障力度、风险评估和应对措施等方面进行综合赋分： 1.应急方案内容完整详细，高度切合项目实际需求；，得1-3分； 2.安全服务组织措施，全面、有效地保障项目质量及人员安全；得1-3分； 3.风险评估精准，应对措施完备，得 1-3分； 注：每一项不满足或不提供得0分。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针对供应商提出的本项目合理化建议评审赋分： 1.建议内容科学合理，且符合项目特征，得1-2分； 2.建议内容具有创新性和可操作性，能有效提升项目效益，得1-2分； 注：每一项不满足或不提供得0分。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针对本项目制定面向采购人的培训计划方案，包含但不限于煤矿监测技术培训、数据解读方法、设备操作指导等进行综合评审： 1.培训计划完整，时间安排合理，得1-2分； 2.培训方案完整详尽，有明确培训内容，高度切合项目情况，得 1-2分； 注：每一项不满足或不提供得0分。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提供拟投入的团队人员方案，组织机构设置合理，管理人员及技术人员配备数量充足、人员职责明确、分工清晰合理、项目实施经验丰富，满足项目要求： 1、团队组织机构人员设置合理，得1-2分； 2、管理人员及技术人员配备充足，能满足本项目采购需求，得1-2分； 3、项目部人员职责明确、分工清晰合理，得1-2分； 4、项目部人员有项目实施经验丰富，满足项目要求，得1-2分； 注：每一项不满足或不提供得0分。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附件3.非联合体磋商声明docx.docx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详见附件：附件1.参加本次政府采购活动前三年内，在经营活动中没有重大违法记录的书面声明docx.docx</w:t>
      </w:r>
    </w:p>
    <w:p>
      <w:pPr>
        <w:pStyle w:val="null3"/>
        <w:ind w:firstLine="960"/>
      </w:pPr>
      <w:r>
        <w:rPr>
          <w:rFonts w:ascii="仿宋_GB2312" w:hAnsi="仿宋_GB2312" w:cs="仿宋_GB2312" w:eastAsia="仿宋_GB2312"/>
        </w:rPr>
        <w:t>详见附件：附件2.供应商具有履行合同所必需的设备和专业技术能力的承诺docx.docx</w:t>
      </w:r>
    </w:p>
    <w:p>
      <w:pPr>
        <w:pStyle w:val="null3"/>
        <w:ind w:firstLine="960"/>
      </w:pPr>
      <w:r>
        <w:rPr>
          <w:rFonts w:ascii="仿宋_GB2312" w:hAnsi="仿宋_GB2312" w:cs="仿宋_GB2312" w:eastAsia="仿宋_GB2312"/>
        </w:rPr>
        <w:t>详见附件：附件3.非联合体磋商声明docx.docx</w:t>
      </w:r>
    </w:p>
    <w:p>
      <w:pPr>
        <w:pStyle w:val="null3"/>
        <w:ind w:firstLine="960"/>
      </w:pPr>
      <w:r>
        <w:rPr>
          <w:rFonts w:ascii="仿宋_GB2312" w:hAnsi="仿宋_GB2312" w:cs="仿宋_GB2312" w:eastAsia="仿宋_GB2312"/>
        </w:rPr>
        <w:t>详见附件：附件4：企业关系关联承诺书.docx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详见附件：拟签订采购合同文本-70万.docx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